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附件4              </w:t>
      </w:r>
      <w:bookmarkStart w:id="0" w:name="_GoBack"/>
      <w:bookmarkEnd w:id="0"/>
      <w:r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  <w:lang w:val="en-US" w:eastAsia="zh-CN"/>
        </w:rPr>
      </w:pPr>
      <w:r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</w:rPr>
        <w:t>公开招聘水利科学与工程学院院长</w:t>
      </w:r>
      <w:r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  <w:lang w:val="en-US" w:eastAsia="zh-CN"/>
        </w:rPr>
        <w:t>启事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cs="Tahoma" w:asciiTheme="majorEastAsia" w:hAnsiTheme="majorEastAsia" w:eastAsiaTheme="majorEastAsia"/>
          <w:b/>
          <w:color w:val="282828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水利科学与工程学院具有60多年的办学历史，最早可追溯到1958年成立的山西水利专科学校。学院现有教职工111人，其中专任教师68人，包括教授14人，教授级高级工程师13人，副教授24人，高级工程师6人，另有双聘院士2名，山西省“百人计划”1人；拥有万人计划、新世纪百千万国家级人选、山西省学术技术带头人各1人，山西省高等学校青年学术带头人4人，131工程领军人才4人，“三晋英才”19人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学院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现有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水利水电工程系、农业水利工程系、水文与水资源工程系、水利工程实验中心和水利水电科学研究院，开设水利水电工程、农业水利工程、水文与水资源工程3个本科专业。拥有“水文与水资源工程”国家级一流专业、“农业水利工程”和“水利水电工程”省级一流专业；拥有水利工程一级学科博士学位授权点、水利工程一级学科学术型和专业型硕士学位授权点，其中水力学及河流动力学为山西省重点学科；拥有水利工程博士后流动站，形成了以水利工程一级学科为主体的完整的人才培养体系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88" w:firstLineChars="196"/>
        <w:contextualSpacing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一、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任职资格及学术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条件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32" w:firstLineChars="200"/>
        <w:jc w:val="both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具有水利工程及相关学科专业背景，在本学科领域具有较大学术影响力和知名度。具有博士学位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教授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专业技术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职务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博士生导师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资格</w:t>
      </w: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88" w:firstLineChars="196"/>
        <w:contextualSpacing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主要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目标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任务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1、提升学院整体科研水平和在国内外的知名度，取得一批具有标志性科技成果（含学术论文、专著、专利、科技成果奖励等）；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2、组织推进学院省部级各类教学、科研平台的申报和建设；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  <w:t>3、培养和引进一批具有较强学术影响力的学术带头人，构建一支拥有知名学术带头人、学术骨干及优秀技术人员的高水平创新科研团队。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hint="eastAsia" w:ascii="仿宋" w:hAnsi="仿宋" w:eastAsia="仿宋" w:cs="仿宋"/>
          <w:color w:val="000000"/>
          <w:spacing w:val="8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0F70"/>
    <w:rsid w:val="002617B8"/>
    <w:rsid w:val="002A4515"/>
    <w:rsid w:val="002C72FD"/>
    <w:rsid w:val="00380A2B"/>
    <w:rsid w:val="003C2EC4"/>
    <w:rsid w:val="003D3004"/>
    <w:rsid w:val="00416527"/>
    <w:rsid w:val="004177E8"/>
    <w:rsid w:val="00695A67"/>
    <w:rsid w:val="006C2FFF"/>
    <w:rsid w:val="006C395C"/>
    <w:rsid w:val="00707A75"/>
    <w:rsid w:val="00745D6B"/>
    <w:rsid w:val="007816F6"/>
    <w:rsid w:val="007D04EF"/>
    <w:rsid w:val="0087319F"/>
    <w:rsid w:val="00903E38"/>
    <w:rsid w:val="00937295"/>
    <w:rsid w:val="00B84F8A"/>
    <w:rsid w:val="00BE4D43"/>
    <w:rsid w:val="00C90A9B"/>
    <w:rsid w:val="00C951E9"/>
    <w:rsid w:val="00D22861"/>
    <w:rsid w:val="00E20F70"/>
    <w:rsid w:val="00E3680F"/>
    <w:rsid w:val="00E60053"/>
    <w:rsid w:val="00EA3162"/>
    <w:rsid w:val="00EC5163"/>
    <w:rsid w:val="00FC6860"/>
    <w:rsid w:val="031867EA"/>
    <w:rsid w:val="04C60FC5"/>
    <w:rsid w:val="0C2E531A"/>
    <w:rsid w:val="0C7F5F16"/>
    <w:rsid w:val="0F9C5BD6"/>
    <w:rsid w:val="120723D7"/>
    <w:rsid w:val="180348DB"/>
    <w:rsid w:val="22A63864"/>
    <w:rsid w:val="27A37B40"/>
    <w:rsid w:val="286959E3"/>
    <w:rsid w:val="2A417E88"/>
    <w:rsid w:val="2E440847"/>
    <w:rsid w:val="348853EE"/>
    <w:rsid w:val="38C33DC6"/>
    <w:rsid w:val="3E4B3025"/>
    <w:rsid w:val="43032D91"/>
    <w:rsid w:val="43FF73E8"/>
    <w:rsid w:val="47CC58E7"/>
    <w:rsid w:val="4A5D00BE"/>
    <w:rsid w:val="4B825E25"/>
    <w:rsid w:val="4C176C4A"/>
    <w:rsid w:val="4D5439E3"/>
    <w:rsid w:val="56473597"/>
    <w:rsid w:val="567C2DFF"/>
    <w:rsid w:val="5B515A0A"/>
    <w:rsid w:val="5C174D19"/>
    <w:rsid w:val="5EF7141E"/>
    <w:rsid w:val="63AF24FA"/>
    <w:rsid w:val="65BF5EB2"/>
    <w:rsid w:val="66FA539D"/>
    <w:rsid w:val="6BD15C87"/>
    <w:rsid w:val="6C7A7601"/>
    <w:rsid w:val="747452EB"/>
    <w:rsid w:val="76E55155"/>
    <w:rsid w:val="79350AD6"/>
    <w:rsid w:val="79745D96"/>
    <w:rsid w:val="7D5B7B3D"/>
    <w:rsid w:val="7FC70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2021-04-19T00:17:00Z</dcterms:created>
  <dc:creator>lenovo</dc:creator>
  <cp:lastModifiedBy>Administrator</cp:lastModifiedBy>
  <cp:lastPrinted>2021-04-02T02:06:00Z</cp:lastPrinted>
  <dcterms:modified xsi:type="dcterms:W3CDTF">2021-04-26T08:04:35Z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9C1DF064846248989B5E083494D83BD5</vt:lpwstr>
  </property>
</Properties>
</file>